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38" w:rsidRDefault="00E66DE9">
      <w:pPr>
        <w:pStyle w:val="Standard"/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3105000" cy="1685880"/>
            <wp:effectExtent l="0" t="0" r="150" b="0"/>
            <wp:docPr id="1" name="Obrázok 2" descr="HUSAV_logo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000" cy="1685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52738" w:rsidRDefault="00152738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DOKTORANDSKÉ ŠTÚDIUM</w:t>
      </w:r>
    </w:p>
    <w:p w:rsidR="00152738" w:rsidRDefault="00152738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lang w:eastAsia="sk-SK"/>
        </w:rPr>
        <w:t>Forma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 xml:space="preserve">Pohovor pred prijímacou komisiou / interview </w:t>
      </w:r>
      <w:proofErr w:type="spellStart"/>
      <w:r>
        <w:rPr>
          <w:rFonts w:cs="Calibri"/>
          <w:sz w:val="24"/>
          <w:szCs w:val="24"/>
          <w:lang w:eastAsia="sk-SK"/>
        </w:rPr>
        <w:t>with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the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examination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board</w:t>
      </w:r>
      <w:proofErr w:type="spellEnd"/>
      <w:r>
        <w:rPr>
          <w:rFonts w:cs="Calibri"/>
          <w:sz w:val="24"/>
          <w:szCs w:val="24"/>
          <w:lang w:eastAsia="sk-SK"/>
        </w:rPr>
        <w:t>.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lang w:eastAsia="sk-SK"/>
        </w:rPr>
        <w:t>Rámcový obsah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Prezentácia výskumného projektu a (tematické zameranie, metodologické východiská, orientácia v pramennej báze, znalosť širšieho historického kontextu). Slovenskí uchádzači o doktorandské štúdium absolvujú časť pohovoru v anglickom alebo nemeckom jazyku. Pohovor so zahraničnými uchádzačmi je vedený v anglickom jazyku, pokiaľ nie je dohodnuté inak.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proofErr w:type="spellStart"/>
      <w:r>
        <w:rPr>
          <w:rFonts w:cs="Calibri"/>
          <w:color w:val="000000"/>
          <w:sz w:val="24"/>
          <w:szCs w:val="24"/>
          <w:lang w:eastAsia="sk-SK"/>
        </w:rPr>
        <w:t>Presentation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of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research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project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(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topic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methodological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aspects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orientation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sources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and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well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 a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broader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historical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context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).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Slovak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are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expected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to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conduct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part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of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interview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English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or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German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.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case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of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foreign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interview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is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English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or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unless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parties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agree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otherwise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>.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color w:val="000000"/>
          <w:sz w:val="24"/>
          <w:szCs w:val="24"/>
          <w:lang w:eastAsia="sk-SK"/>
        </w:rPr>
        <w:t>Spôsob vyhodnocovania výsledkov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r>
        <w:rPr>
          <w:rFonts w:cs="Calibri"/>
          <w:color w:val="000000"/>
          <w:sz w:val="24"/>
          <w:szCs w:val="24"/>
          <w:lang w:eastAsia="sk-SK"/>
        </w:rPr>
        <w:t xml:space="preserve">Zohľadňuje vedomostné predpoklady na vedeckú prácu, komunikačné predpoklady (komunikácia v rodnom jazyku, v anglickom jazyku, pracovná znalosť jazyka prameňov), osobnostné predpoklady (efektívna komunikácia, tímová práca, skúsenosti s akademickou mobilitou). Pri hodnotení bodovým rebríčkom HÚ SAV rešpektuje odporúčanú metodiku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FiFUK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>. Na základe bodového poradia delí uchádzačov do kategórií a) vyhovel-prijať, b) vyhovel-neprijať pre nedostatok miest, c) nevyhovel.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Following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aspects</w:t>
      </w:r>
      <w:proofErr w:type="spellEnd"/>
      <w:r>
        <w:rPr>
          <w:rFonts w:cs="Calibri"/>
          <w:sz w:val="24"/>
          <w:szCs w:val="24"/>
        </w:rPr>
        <w:t xml:space="preserve"> are </w:t>
      </w:r>
      <w:proofErr w:type="spellStart"/>
      <w:r>
        <w:rPr>
          <w:rFonts w:cs="Calibri"/>
          <w:sz w:val="24"/>
          <w:szCs w:val="24"/>
        </w:rPr>
        <w:t>considered</w:t>
      </w:r>
      <w:proofErr w:type="spellEnd"/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knowledge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required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academic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practice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communication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communication</w:t>
      </w:r>
      <w:proofErr w:type="spellEnd"/>
      <w:r>
        <w:rPr>
          <w:rFonts w:cs="Calibri"/>
          <w:sz w:val="24"/>
          <w:szCs w:val="24"/>
        </w:rPr>
        <w:t xml:space="preserve"> in </w:t>
      </w:r>
      <w:proofErr w:type="spellStart"/>
      <w:r>
        <w:rPr>
          <w:rFonts w:cs="Calibri"/>
          <w:sz w:val="24"/>
          <w:szCs w:val="24"/>
        </w:rPr>
        <w:t>English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language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ability</w:t>
      </w:r>
      <w:proofErr w:type="spellEnd"/>
      <w:r>
        <w:rPr>
          <w:rFonts w:cs="Calibri"/>
          <w:sz w:val="24"/>
          <w:szCs w:val="24"/>
        </w:rPr>
        <w:t xml:space="preserve"> to </w:t>
      </w:r>
      <w:proofErr w:type="spellStart"/>
      <w:r>
        <w:rPr>
          <w:rFonts w:cs="Calibri"/>
          <w:sz w:val="24"/>
          <w:szCs w:val="24"/>
        </w:rPr>
        <w:t>understand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language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of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sources</w:t>
      </w:r>
      <w:proofErr w:type="spellEnd"/>
      <w:r>
        <w:rPr>
          <w:rFonts w:cs="Calibri"/>
          <w:sz w:val="24"/>
          <w:szCs w:val="24"/>
        </w:rPr>
        <w:t xml:space="preserve">), </w:t>
      </w:r>
      <w:proofErr w:type="spellStart"/>
      <w:r>
        <w:rPr>
          <w:rFonts w:cs="Calibri"/>
          <w:sz w:val="24"/>
          <w:szCs w:val="24"/>
        </w:rPr>
        <w:t>effective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communicational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teamwork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 and </w:t>
      </w:r>
      <w:proofErr w:type="spellStart"/>
      <w:r>
        <w:rPr>
          <w:rFonts w:cs="Calibri"/>
          <w:sz w:val="24"/>
          <w:szCs w:val="24"/>
        </w:rPr>
        <w:t>experience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with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scholarly</w:t>
      </w:r>
      <w:proofErr w:type="spellEnd"/>
      <w:r>
        <w:rPr>
          <w:rFonts w:cs="Calibri"/>
          <w:sz w:val="24"/>
          <w:szCs w:val="24"/>
        </w:rPr>
        <w:t xml:space="preserve"> mobility).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scale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follows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recommended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pattern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of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Faculty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of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Arts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of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Comenius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University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After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interview, </w:t>
      </w:r>
      <w:proofErr w:type="spellStart"/>
      <w:r>
        <w:rPr>
          <w:rFonts w:cs="Calibri"/>
          <w:sz w:val="24"/>
          <w:szCs w:val="24"/>
        </w:rPr>
        <w:t>applicants</w:t>
      </w:r>
      <w:proofErr w:type="spellEnd"/>
      <w:r>
        <w:rPr>
          <w:rFonts w:cs="Calibri"/>
          <w:sz w:val="24"/>
          <w:szCs w:val="24"/>
        </w:rPr>
        <w:t xml:space="preserve"> are </w:t>
      </w:r>
      <w:proofErr w:type="spellStart"/>
      <w:r>
        <w:rPr>
          <w:rFonts w:cs="Calibri"/>
          <w:sz w:val="24"/>
          <w:szCs w:val="24"/>
        </w:rPr>
        <w:t>divided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following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categories</w:t>
      </w:r>
      <w:proofErr w:type="spellEnd"/>
      <w:r>
        <w:rPr>
          <w:rFonts w:cs="Calibri"/>
          <w:sz w:val="24"/>
          <w:szCs w:val="24"/>
        </w:rPr>
        <w:t xml:space="preserve">: a) </w:t>
      </w:r>
      <w:proofErr w:type="spellStart"/>
      <w:r>
        <w:rPr>
          <w:rFonts w:cs="Calibri"/>
          <w:sz w:val="24"/>
          <w:szCs w:val="24"/>
        </w:rPr>
        <w:t>passed</w:t>
      </w:r>
      <w:proofErr w:type="spellEnd"/>
      <w:r>
        <w:rPr>
          <w:rFonts w:cs="Calibri"/>
          <w:sz w:val="24"/>
          <w:szCs w:val="24"/>
        </w:rPr>
        <w:t xml:space="preserve"> – to </w:t>
      </w:r>
      <w:proofErr w:type="spellStart"/>
      <w:r>
        <w:rPr>
          <w:rFonts w:cs="Calibri"/>
          <w:sz w:val="24"/>
          <w:szCs w:val="24"/>
        </w:rPr>
        <w:t>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admitted</w:t>
      </w:r>
      <w:proofErr w:type="spellEnd"/>
      <w:r>
        <w:rPr>
          <w:rFonts w:cs="Calibri"/>
          <w:sz w:val="24"/>
          <w:szCs w:val="24"/>
        </w:rPr>
        <w:t xml:space="preserve">, b) </w:t>
      </w:r>
      <w:proofErr w:type="spellStart"/>
      <w:r>
        <w:rPr>
          <w:rFonts w:cs="Calibri"/>
          <w:sz w:val="24"/>
          <w:szCs w:val="24"/>
        </w:rPr>
        <w:t>passed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not</w:t>
      </w:r>
      <w:proofErr w:type="spellEnd"/>
      <w:r>
        <w:rPr>
          <w:rFonts w:cs="Calibri"/>
          <w:sz w:val="24"/>
          <w:szCs w:val="24"/>
        </w:rPr>
        <w:t xml:space="preserve"> to </w:t>
      </w:r>
      <w:proofErr w:type="spellStart"/>
      <w:r>
        <w:rPr>
          <w:rFonts w:cs="Calibri"/>
          <w:sz w:val="24"/>
          <w:szCs w:val="24"/>
        </w:rPr>
        <w:t>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admitted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due</w:t>
      </w:r>
      <w:proofErr w:type="spellEnd"/>
      <w:r>
        <w:rPr>
          <w:rFonts w:cs="Calibri"/>
          <w:sz w:val="24"/>
          <w:szCs w:val="24"/>
        </w:rPr>
        <w:t xml:space="preserve"> to a </w:t>
      </w:r>
      <w:proofErr w:type="spellStart"/>
      <w:r>
        <w:rPr>
          <w:rFonts w:cs="Calibri"/>
          <w:sz w:val="24"/>
          <w:szCs w:val="24"/>
        </w:rPr>
        <w:t>lack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of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positions</w:t>
      </w:r>
      <w:proofErr w:type="spellEnd"/>
      <w:r>
        <w:rPr>
          <w:rFonts w:cs="Calibri"/>
          <w:sz w:val="24"/>
          <w:szCs w:val="24"/>
        </w:rPr>
        <w:t xml:space="preserve">, c) </w:t>
      </w:r>
      <w:proofErr w:type="spellStart"/>
      <w:r>
        <w:rPr>
          <w:rFonts w:cs="Calibri"/>
          <w:sz w:val="24"/>
          <w:szCs w:val="24"/>
        </w:rPr>
        <w:t>did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pass</w:t>
      </w:r>
      <w:proofErr w:type="spellEnd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jc w:val="both"/>
        <w:rPr>
          <w:rFonts w:cs="Calibri"/>
        </w:rPr>
      </w:pPr>
    </w:p>
    <w:p w:rsidR="00152738" w:rsidRDefault="00152738">
      <w:pPr>
        <w:pStyle w:val="Standard"/>
        <w:spacing w:after="0" w:line="240" w:lineRule="auto"/>
        <w:jc w:val="both"/>
        <w:rPr>
          <w:rFonts w:cs="Calibri"/>
        </w:rPr>
      </w:pPr>
    </w:p>
    <w:p w:rsidR="00BC260C" w:rsidRDefault="00BC260C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Témy doktorandského štúdia</w:t>
      </w: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externej vzdelávacej inštitúcie</w:t>
      </w: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  akademickom roku 201</w:t>
      </w:r>
      <w:r w:rsidR="00FF63CC">
        <w:rPr>
          <w:rFonts w:cs="Calibri"/>
          <w:b/>
          <w:bCs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/20</w:t>
      </w:r>
      <w:r w:rsidR="00FF63CC">
        <w:rPr>
          <w:rFonts w:cs="Calibri"/>
          <w:b/>
          <w:bCs/>
          <w:sz w:val="24"/>
          <w:szCs w:val="24"/>
        </w:rPr>
        <w:t>20</w:t>
      </w:r>
    </w:p>
    <w:p w:rsidR="00152738" w:rsidRDefault="00152738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Filozofická fakulta, Univerzita Komenského Bratislava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BC260C" w:rsidRPr="00BC260C" w:rsidRDefault="00E66DE9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Študijný odbor – všeobecné dejiny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Interné doktorandské štúdium:</w:t>
      </w:r>
    </w:p>
    <w:p w:rsidR="00FF63CC" w:rsidRDefault="00FF63CC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</w:t>
      </w:r>
      <w:r w:rsidRPr="00FF63CC">
        <w:rPr>
          <w:rFonts w:cs="Calibri"/>
          <w:sz w:val="24"/>
          <w:szCs w:val="24"/>
        </w:rPr>
        <w:t>Limity československo-čínskych vzťahov v rokoch 1949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softHyphen/>
      </w:r>
      <w:r w:rsidRPr="00FF63CC">
        <w:rPr>
          <w:rFonts w:cs="Calibri"/>
          <w:sz w:val="24"/>
          <w:szCs w:val="24"/>
        </w:rPr>
        <w:t>1968 (</w:t>
      </w:r>
      <w:proofErr w:type="spellStart"/>
      <w:r w:rsidRPr="00FF63CC">
        <w:rPr>
          <w:rFonts w:cs="Calibri"/>
          <w:sz w:val="24"/>
          <w:szCs w:val="24"/>
        </w:rPr>
        <w:t>politicko-hospodársko-kultúrne</w:t>
      </w:r>
      <w:proofErr w:type="spellEnd"/>
      <w:r w:rsidRPr="00FF63CC">
        <w:rPr>
          <w:rFonts w:cs="Calibri"/>
          <w:sz w:val="24"/>
          <w:szCs w:val="24"/>
        </w:rPr>
        <w:t xml:space="preserve"> reálie dvoch krajín východného bloku)</w:t>
      </w:r>
      <w:r>
        <w:rPr>
          <w:rFonts w:cs="Calibri"/>
          <w:sz w:val="24"/>
          <w:szCs w:val="24"/>
        </w:rPr>
        <w:t xml:space="preserve"> / </w:t>
      </w:r>
      <w:proofErr w:type="spellStart"/>
      <w:r w:rsidRPr="00FF63CC">
        <w:rPr>
          <w:rFonts w:cs="Calibri"/>
          <w:sz w:val="24"/>
          <w:szCs w:val="24"/>
        </w:rPr>
        <w:t>Limits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of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Czechoslovak</w:t>
      </w:r>
      <w:proofErr w:type="spellEnd"/>
      <w:r w:rsidRPr="00FF63CC">
        <w:rPr>
          <w:rFonts w:cs="Calibri"/>
          <w:sz w:val="24"/>
          <w:szCs w:val="24"/>
        </w:rPr>
        <w:t xml:space="preserve">- </w:t>
      </w:r>
      <w:proofErr w:type="spellStart"/>
      <w:r w:rsidRPr="00FF63CC">
        <w:rPr>
          <w:rFonts w:cs="Calibri"/>
          <w:sz w:val="24"/>
          <w:szCs w:val="24"/>
        </w:rPr>
        <w:t>Chinese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cooperation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during</w:t>
      </w:r>
      <w:proofErr w:type="spellEnd"/>
      <w:r w:rsidRPr="00FF63CC">
        <w:rPr>
          <w:rFonts w:cs="Calibri"/>
          <w:sz w:val="24"/>
          <w:szCs w:val="24"/>
        </w:rPr>
        <w:t xml:space="preserve"> 1949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softHyphen/>
      </w:r>
      <w:r w:rsidRPr="00FF63CC">
        <w:rPr>
          <w:rFonts w:cs="Calibri"/>
          <w:sz w:val="24"/>
          <w:szCs w:val="24"/>
        </w:rPr>
        <w:t>1968 (</w:t>
      </w:r>
      <w:proofErr w:type="spellStart"/>
      <w:r w:rsidRPr="00FF63CC">
        <w:rPr>
          <w:rFonts w:cs="Calibri"/>
          <w:sz w:val="24"/>
          <w:szCs w:val="24"/>
        </w:rPr>
        <w:t>political-economic</w:t>
      </w:r>
      <w:proofErr w:type="spellEnd"/>
      <w:r w:rsidRPr="00FF63CC">
        <w:rPr>
          <w:rFonts w:cs="Calibri"/>
          <w:sz w:val="24"/>
          <w:szCs w:val="24"/>
        </w:rPr>
        <w:t xml:space="preserve"> and </w:t>
      </w:r>
      <w:proofErr w:type="spellStart"/>
      <w:r w:rsidRPr="00FF63CC">
        <w:rPr>
          <w:rFonts w:cs="Calibri"/>
          <w:sz w:val="24"/>
          <w:szCs w:val="24"/>
        </w:rPr>
        <w:t>cultural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relations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of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two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Eastern</w:t>
      </w:r>
      <w:proofErr w:type="spellEnd"/>
      <w:r w:rsidRPr="00FF63CC">
        <w:rPr>
          <w:rFonts w:cs="Calibri"/>
          <w:sz w:val="24"/>
          <w:szCs w:val="24"/>
        </w:rPr>
        <w:t xml:space="preserve"> bloc </w:t>
      </w:r>
      <w:proofErr w:type="spellStart"/>
      <w:r w:rsidRPr="00FF63CC">
        <w:rPr>
          <w:rFonts w:cs="Calibri"/>
          <w:sz w:val="24"/>
          <w:szCs w:val="24"/>
        </w:rPr>
        <w:t>countries</w:t>
      </w:r>
      <w:proofErr w:type="spellEnd"/>
      <w:r w:rsidRPr="00FF63CC">
        <w:rPr>
          <w:rFonts w:cs="Calibri"/>
          <w:sz w:val="24"/>
          <w:szCs w:val="24"/>
        </w:rPr>
        <w:t>)</w:t>
      </w:r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Školiteľ/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PhDr. Slavomír Michálek, DrSc.</w:t>
      </w:r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</w:t>
      </w:r>
      <w:r w:rsidRPr="00FF63CC">
        <w:rPr>
          <w:rFonts w:cs="Calibri"/>
          <w:sz w:val="24"/>
          <w:szCs w:val="24"/>
        </w:rPr>
        <w:t>Politické hranice a vedomostné transfery v polovici 20. storočia</w:t>
      </w:r>
      <w:r>
        <w:rPr>
          <w:rFonts w:cs="Calibri"/>
          <w:sz w:val="24"/>
          <w:szCs w:val="24"/>
        </w:rPr>
        <w:t xml:space="preserve"> / </w:t>
      </w:r>
      <w:proofErr w:type="spellStart"/>
      <w:r w:rsidRPr="00FF63CC">
        <w:rPr>
          <w:rFonts w:cs="Calibri"/>
          <w:sz w:val="24"/>
          <w:szCs w:val="24"/>
        </w:rPr>
        <w:t>Political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borders</w:t>
      </w:r>
      <w:proofErr w:type="spellEnd"/>
      <w:r w:rsidRPr="00FF63CC">
        <w:rPr>
          <w:rFonts w:cs="Calibri"/>
          <w:sz w:val="24"/>
          <w:szCs w:val="24"/>
        </w:rPr>
        <w:t xml:space="preserve"> and </w:t>
      </w:r>
      <w:proofErr w:type="spellStart"/>
      <w:r w:rsidRPr="00FF63CC">
        <w:rPr>
          <w:rFonts w:cs="Calibri"/>
          <w:sz w:val="24"/>
          <w:szCs w:val="24"/>
        </w:rPr>
        <w:t>knowledge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transfers</w:t>
      </w:r>
      <w:proofErr w:type="spellEnd"/>
      <w:r w:rsidRPr="00FF63CC">
        <w:rPr>
          <w:rFonts w:cs="Calibri"/>
          <w:sz w:val="24"/>
          <w:szCs w:val="24"/>
        </w:rPr>
        <w:t xml:space="preserve"> in </w:t>
      </w:r>
      <w:proofErr w:type="spellStart"/>
      <w:r w:rsidRPr="00FF63CC">
        <w:rPr>
          <w:rFonts w:cs="Calibri"/>
          <w:sz w:val="24"/>
          <w:szCs w:val="24"/>
        </w:rPr>
        <w:t>the</w:t>
      </w:r>
      <w:proofErr w:type="spellEnd"/>
      <w:r w:rsidRPr="00FF63CC">
        <w:rPr>
          <w:rFonts w:cs="Calibri"/>
          <w:sz w:val="24"/>
          <w:szCs w:val="24"/>
        </w:rPr>
        <w:t xml:space="preserve"> mid-20th </w:t>
      </w:r>
      <w:proofErr w:type="spellStart"/>
      <w:r w:rsidRPr="00FF63CC">
        <w:rPr>
          <w:rFonts w:cs="Calibri"/>
          <w:sz w:val="24"/>
          <w:szCs w:val="24"/>
        </w:rPr>
        <w:t>century</w:t>
      </w:r>
      <w:proofErr w:type="spellEnd"/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Školiteľ</w:t>
      </w:r>
      <w:r>
        <w:rPr>
          <w:sz w:val="24"/>
          <w:szCs w:val="24"/>
        </w:rPr>
        <w:t>ka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>:</w:t>
      </w:r>
      <w:r w:rsidRPr="00FF63CC">
        <w:rPr>
          <w:rFonts w:cs="Calibri"/>
          <w:sz w:val="24"/>
          <w:szCs w:val="24"/>
        </w:rPr>
        <w:t xml:space="preserve"> </w:t>
      </w:r>
      <w:r w:rsidRPr="00FF63CC">
        <w:rPr>
          <w:rFonts w:cs="Calibri"/>
          <w:sz w:val="24"/>
          <w:szCs w:val="24"/>
        </w:rPr>
        <w:t xml:space="preserve">Marína </w:t>
      </w:r>
      <w:proofErr w:type="spellStart"/>
      <w:r w:rsidRPr="00FF63CC">
        <w:rPr>
          <w:rFonts w:cs="Calibri"/>
          <w:sz w:val="24"/>
          <w:szCs w:val="24"/>
        </w:rPr>
        <w:t>Zavacká</w:t>
      </w:r>
      <w:proofErr w:type="spellEnd"/>
      <w:r w:rsidRPr="00FF63CC">
        <w:rPr>
          <w:rFonts w:cs="Calibri"/>
          <w:sz w:val="24"/>
          <w:szCs w:val="24"/>
        </w:rPr>
        <w:t>, PhD.</w:t>
      </w:r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</w:t>
      </w:r>
      <w:r w:rsidRPr="00FF63CC">
        <w:rPr>
          <w:rFonts w:cs="Calibri"/>
          <w:sz w:val="24"/>
          <w:szCs w:val="24"/>
        </w:rPr>
        <w:t>Kontinuity a diskontinuity sociálnych praxí v 70. až 90. rokoch 20. storočia</w:t>
      </w:r>
      <w:r>
        <w:rPr>
          <w:rFonts w:cs="Calibri"/>
          <w:sz w:val="24"/>
          <w:szCs w:val="24"/>
        </w:rPr>
        <w:t xml:space="preserve"> / </w:t>
      </w:r>
      <w:proofErr w:type="spellStart"/>
      <w:r w:rsidRPr="00FF63CC">
        <w:rPr>
          <w:rFonts w:cs="Calibri"/>
          <w:sz w:val="24"/>
          <w:szCs w:val="24"/>
        </w:rPr>
        <w:t>Continuity</w:t>
      </w:r>
      <w:proofErr w:type="spellEnd"/>
      <w:r w:rsidRPr="00FF63CC">
        <w:rPr>
          <w:rFonts w:cs="Calibri"/>
          <w:sz w:val="24"/>
          <w:szCs w:val="24"/>
        </w:rPr>
        <w:t xml:space="preserve"> and </w:t>
      </w:r>
      <w:proofErr w:type="spellStart"/>
      <w:r w:rsidRPr="00FF63CC">
        <w:rPr>
          <w:rFonts w:cs="Calibri"/>
          <w:sz w:val="24"/>
          <w:szCs w:val="24"/>
        </w:rPr>
        <w:t>discontinuity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of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the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social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practices</w:t>
      </w:r>
      <w:proofErr w:type="spellEnd"/>
      <w:r w:rsidRPr="00FF63CC">
        <w:rPr>
          <w:rFonts w:cs="Calibri"/>
          <w:sz w:val="24"/>
          <w:szCs w:val="24"/>
        </w:rPr>
        <w:t xml:space="preserve"> in </w:t>
      </w:r>
      <w:proofErr w:type="spellStart"/>
      <w:r w:rsidRPr="00FF63CC">
        <w:rPr>
          <w:rFonts w:cs="Calibri"/>
          <w:sz w:val="24"/>
          <w:szCs w:val="24"/>
        </w:rPr>
        <w:t>the</w:t>
      </w:r>
      <w:proofErr w:type="spellEnd"/>
      <w:r w:rsidRPr="00FF63CC">
        <w:rPr>
          <w:rFonts w:cs="Calibri"/>
          <w:sz w:val="24"/>
          <w:szCs w:val="24"/>
        </w:rPr>
        <w:t xml:space="preserve"> 1970s and 1990s</w:t>
      </w:r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Školiteľ</w:t>
      </w:r>
      <w:r>
        <w:rPr>
          <w:sz w:val="24"/>
          <w:szCs w:val="24"/>
        </w:rPr>
        <w:t>ka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>:</w:t>
      </w:r>
      <w:r w:rsidRPr="00FF63CC">
        <w:rPr>
          <w:rFonts w:cs="Calibri"/>
          <w:sz w:val="24"/>
          <w:szCs w:val="24"/>
        </w:rPr>
        <w:t xml:space="preserve"> </w:t>
      </w:r>
      <w:r w:rsidRPr="00FF63CC">
        <w:rPr>
          <w:rFonts w:cs="Calibri"/>
          <w:sz w:val="24"/>
          <w:szCs w:val="24"/>
        </w:rPr>
        <w:t xml:space="preserve">Marína </w:t>
      </w:r>
      <w:proofErr w:type="spellStart"/>
      <w:r w:rsidRPr="00FF63CC">
        <w:rPr>
          <w:rFonts w:cs="Calibri"/>
          <w:sz w:val="24"/>
          <w:szCs w:val="24"/>
        </w:rPr>
        <w:t>Zavacká</w:t>
      </w:r>
      <w:proofErr w:type="spellEnd"/>
      <w:r w:rsidRPr="00FF63CC">
        <w:rPr>
          <w:rFonts w:cs="Calibri"/>
          <w:sz w:val="24"/>
          <w:szCs w:val="24"/>
        </w:rPr>
        <w:t>, PhD.</w:t>
      </w:r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</w:t>
      </w:r>
      <w:r w:rsidRPr="00FF63CC">
        <w:rPr>
          <w:rFonts w:cs="Calibri"/>
          <w:sz w:val="24"/>
          <w:szCs w:val="24"/>
        </w:rPr>
        <w:t>Komunity a osobnosti stredoeurópskej architektúry 20. storočia</w:t>
      </w:r>
      <w:r>
        <w:rPr>
          <w:rFonts w:cs="Calibri"/>
          <w:sz w:val="24"/>
          <w:szCs w:val="24"/>
        </w:rPr>
        <w:t xml:space="preserve"> / </w:t>
      </w:r>
      <w:proofErr w:type="spellStart"/>
      <w:r w:rsidRPr="00FF63CC">
        <w:rPr>
          <w:rFonts w:cs="Calibri"/>
          <w:sz w:val="24"/>
          <w:szCs w:val="24"/>
        </w:rPr>
        <w:t>Communities</w:t>
      </w:r>
      <w:proofErr w:type="spellEnd"/>
      <w:r w:rsidRPr="00FF63CC">
        <w:rPr>
          <w:rFonts w:cs="Calibri"/>
          <w:sz w:val="24"/>
          <w:szCs w:val="24"/>
        </w:rPr>
        <w:t xml:space="preserve"> and </w:t>
      </w:r>
      <w:proofErr w:type="spellStart"/>
      <w:r w:rsidRPr="00FF63CC">
        <w:rPr>
          <w:rFonts w:cs="Calibri"/>
          <w:sz w:val="24"/>
          <w:szCs w:val="24"/>
        </w:rPr>
        <w:t>personalities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of</w:t>
      </w:r>
      <w:proofErr w:type="spellEnd"/>
      <w:r w:rsidRPr="00FF63CC">
        <w:rPr>
          <w:rFonts w:cs="Calibri"/>
          <w:sz w:val="24"/>
          <w:szCs w:val="24"/>
        </w:rPr>
        <w:t xml:space="preserve"> 20th </w:t>
      </w:r>
      <w:proofErr w:type="spellStart"/>
      <w:r w:rsidRPr="00FF63CC">
        <w:rPr>
          <w:rFonts w:cs="Calibri"/>
          <w:sz w:val="24"/>
          <w:szCs w:val="24"/>
        </w:rPr>
        <w:t>century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architecture</w:t>
      </w:r>
      <w:proofErr w:type="spellEnd"/>
      <w:r w:rsidRPr="00FF63CC">
        <w:rPr>
          <w:rFonts w:cs="Calibri"/>
          <w:sz w:val="24"/>
          <w:szCs w:val="24"/>
        </w:rPr>
        <w:t xml:space="preserve"> in </w:t>
      </w:r>
      <w:proofErr w:type="spellStart"/>
      <w:r w:rsidRPr="00FF63CC">
        <w:rPr>
          <w:rFonts w:cs="Calibri"/>
          <w:sz w:val="24"/>
          <w:szCs w:val="24"/>
        </w:rPr>
        <w:t>Central</w:t>
      </w:r>
      <w:proofErr w:type="spellEnd"/>
      <w:r w:rsidRPr="00FF63CC">
        <w:rPr>
          <w:rFonts w:cs="Calibri"/>
          <w:sz w:val="24"/>
          <w:szCs w:val="24"/>
        </w:rPr>
        <w:t xml:space="preserve"> </w:t>
      </w:r>
      <w:proofErr w:type="spellStart"/>
      <w:r w:rsidRPr="00FF63CC">
        <w:rPr>
          <w:rFonts w:cs="Calibri"/>
          <w:sz w:val="24"/>
          <w:szCs w:val="24"/>
        </w:rPr>
        <w:t>Europe</w:t>
      </w:r>
      <w:proofErr w:type="spellEnd"/>
    </w:p>
    <w:p w:rsidR="00FF63CC" w:rsidRPr="00FF63CC" w:rsidRDefault="00FF63CC" w:rsidP="00FF63CC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Školiteľ</w:t>
      </w:r>
      <w:r>
        <w:rPr>
          <w:sz w:val="24"/>
          <w:szCs w:val="24"/>
        </w:rPr>
        <w:t>ka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F63CC">
        <w:rPr>
          <w:rFonts w:cs="Calibri"/>
          <w:sz w:val="24"/>
          <w:szCs w:val="24"/>
        </w:rPr>
        <w:t xml:space="preserve">prof. Dr. </w:t>
      </w:r>
      <w:proofErr w:type="spellStart"/>
      <w:r w:rsidRPr="00FF63CC">
        <w:rPr>
          <w:rFonts w:cs="Calibri"/>
          <w:sz w:val="24"/>
          <w:szCs w:val="24"/>
        </w:rPr>
        <w:t>Ing.arch</w:t>
      </w:r>
      <w:proofErr w:type="spellEnd"/>
      <w:r w:rsidRPr="00FF63CC">
        <w:rPr>
          <w:rFonts w:cs="Calibri"/>
          <w:sz w:val="24"/>
          <w:szCs w:val="24"/>
        </w:rPr>
        <w:t>. Henrieta Moravčíková</w:t>
      </w:r>
    </w:p>
    <w:p w:rsidR="00FF63CC" w:rsidRDefault="00FF63CC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FF63CC" w:rsidRDefault="00FF63CC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</w:pPr>
      <w:r>
        <w:rPr>
          <w:sz w:val="24"/>
          <w:szCs w:val="24"/>
        </w:rPr>
        <w:t xml:space="preserve">Bližšie informácie: </w:t>
      </w:r>
      <w:hyperlink r:id="rId9" w:history="1">
        <w:r>
          <w:rPr>
            <w:sz w:val="24"/>
            <w:szCs w:val="24"/>
          </w:rPr>
          <w:t>https://fphil.uniba.sk/studium/uchadzac-prijimacie-konanie/doktorandske-studium/prijimacie-konanie/</w:t>
        </w:r>
      </w:hyperlink>
    </w:p>
    <w:sectPr w:rsidR="001527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F6" w:rsidRDefault="00E66DE9">
      <w:r>
        <w:separator/>
      </w:r>
    </w:p>
  </w:endnote>
  <w:endnote w:type="continuationSeparator" w:id="0">
    <w:p w:rsidR="009C14F6" w:rsidRDefault="00E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F6" w:rsidRDefault="00E66DE9">
      <w:r>
        <w:rPr>
          <w:color w:val="000000"/>
        </w:rPr>
        <w:separator/>
      </w:r>
    </w:p>
  </w:footnote>
  <w:footnote w:type="continuationSeparator" w:id="0">
    <w:p w:rsidR="009C14F6" w:rsidRDefault="00E6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3AF"/>
    <w:multiLevelType w:val="multilevel"/>
    <w:tmpl w:val="0F1E725C"/>
    <w:styleLink w:val="WWNum2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C3E12"/>
    <w:multiLevelType w:val="multilevel"/>
    <w:tmpl w:val="EC2A8C20"/>
    <w:styleLink w:val="WWNum1"/>
    <w:lvl w:ilvl="0">
      <w:numFmt w:val="bullet"/>
      <w:lvlText w:val="-"/>
      <w:lvlJc w:val="left"/>
      <w:pPr>
        <w:ind w:left="927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647" w:hanging="360"/>
      </w:pPr>
      <w:rPr>
        <w:rFonts w:cs="Courier New"/>
      </w:rPr>
    </w:lvl>
    <w:lvl w:ilvl="2">
      <w:numFmt w:val="bullet"/>
      <w:lvlText w:val=""/>
      <w:lvlJc w:val="left"/>
      <w:pPr>
        <w:ind w:left="2367" w:hanging="360"/>
      </w:pPr>
    </w:lvl>
    <w:lvl w:ilvl="3">
      <w:numFmt w:val="bullet"/>
      <w:lvlText w:val=""/>
      <w:lvlJc w:val="left"/>
      <w:pPr>
        <w:ind w:left="3087" w:hanging="360"/>
      </w:pPr>
    </w:lvl>
    <w:lvl w:ilvl="4">
      <w:numFmt w:val="bullet"/>
      <w:lvlText w:val="o"/>
      <w:lvlJc w:val="left"/>
      <w:pPr>
        <w:ind w:left="3807" w:hanging="360"/>
      </w:pPr>
      <w:rPr>
        <w:rFonts w:cs="Courier New"/>
      </w:rPr>
    </w:lvl>
    <w:lvl w:ilvl="5">
      <w:numFmt w:val="bullet"/>
      <w:lvlText w:val=""/>
      <w:lvlJc w:val="left"/>
      <w:pPr>
        <w:ind w:left="4527" w:hanging="360"/>
      </w:pPr>
    </w:lvl>
    <w:lvl w:ilvl="6">
      <w:numFmt w:val="bullet"/>
      <w:lvlText w:val=""/>
      <w:lvlJc w:val="left"/>
      <w:pPr>
        <w:ind w:left="5247" w:hanging="360"/>
      </w:pPr>
    </w:lvl>
    <w:lvl w:ilvl="7">
      <w:numFmt w:val="bullet"/>
      <w:lvlText w:val="o"/>
      <w:lvlJc w:val="left"/>
      <w:pPr>
        <w:ind w:left="5967" w:hanging="360"/>
      </w:pPr>
      <w:rPr>
        <w:rFonts w:cs="Courier New"/>
      </w:rPr>
    </w:lvl>
    <w:lvl w:ilvl="8">
      <w:numFmt w:val="bullet"/>
      <w:lvlText w:val=""/>
      <w:lvlJc w:val="left"/>
      <w:pPr>
        <w:ind w:left="6687" w:hanging="360"/>
      </w:pPr>
    </w:lvl>
  </w:abstractNum>
  <w:abstractNum w:abstractNumId="2">
    <w:nsid w:val="5EDC6207"/>
    <w:multiLevelType w:val="multilevel"/>
    <w:tmpl w:val="E0549A74"/>
    <w:styleLink w:val="WWNum3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9351A2"/>
    <w:multiLevelType w:val="multilevel"/>
    <w:tmpl w:val="D4D21D7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2738"/>
    <w:rsid w:val="00152738"/>
    <w:rsid w:val="007D59D5"/>
    <w:rsid w:val="009C14F6"/>
    <w:rsid w:val="00BC260C"/>
    <w:rsid w:val="00E66DE9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phil.uniba.sk/studium/uchadzac-prijimacie-konanie/doktorandske-studium/prijimacie-konani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Šedivý</dc:creator>
  <cp:lastModifiedBy>Mgr. Maroš Hertel</cp:lastModifiedBy>
  <cp:revision>3</cp:revision>
  <cp:lastPrinted>2018-05-03T13:35:00Z</cp:lastPrinted>
  <dcterms:created xsi:type="dcterms:W3CDTF">2019-03-12T11:27:00Z</dcterms:created>
  <dcterms:modified xsi:type="dcterms:W3CDTF">2019-03-12T11:33:00Z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